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965FE">
      <w:pPr>
        <w:spacing w:before="480" w:after="480" w:line="288" w:lineRule="auto"/>
        <w:ind w:left="0"/>
        <w:jc w:val="left"/>
      </w:pPr>
      <w:r>
        <w:rPr>
          <w:rFonts w:ascii="Arial" w:hAnsi="Arial" w:eastAsia="等线" w:cs="Arial"/>
          <w:b/>
          <w:sz w:val="52"/>
        </w:rPr>
        <w:t>Learning Satisfaction Questionnaire (LSQ)</w:t>
      </w:r>
    </w:p>
    <w:p w14:paraId="10DCA4E6">
      <w:pPr>
        <w:spacing w:before="120" w:after="120" w:line="288" w:lineRule="auto"/>
        <w:ind w:left="0"/>
        <w:jc w:val="left"/>
      </w:pPr>
      <w:r>
        <w:rPr>
          <w:rFonts w:ascii="Arial" w:hAnsi="Arial" w:eastAsia="等线" w:cs="Arial"/>
          <w:b/>
          <w:sz w:val="22"/>
        </w:rPr>
        <w:t>Survey Object</w:t>
      </w:r>
      <w:r>
        <w:rPr>
          <w:rFonts w:ascii="Arial" w:hAnsi="Arial" w:eastAsia="等线" w:cs="Arial"/>
          <w:sz w:val="22"/>
        </w:rPr>
        <w:t>: General practice students, standardized training residents in general practice (who have participated in primary care referral decision-making related learning and training)</w:t>
      </w:r>
    </w:p>
    <w:p w14:paraId="114A452F">
      <w:pPr>
        <w:spacing w:before="120" w:after="120" w:line="288" w:lineRule="auto"/>
        <w:ind w:left="0"/>
        <w:jc w:val="left"/>
      </w:pPr>
      <w:r>
        <w:rPr>
          <w:rFonts w:ascii="Arial" w:hAnsi="Arial" w:eastAsia="等线" w:cs="Arial"/>
          <w:b/>
          <w:sz w:val="22"/>
        </w:rPr>
        <w:t>Survey Instructions</w:t>
      </w:r>
      <w:r>
        <w:rPr>
          <w:rFonts w:ascii="Arial" w:hAnsi="Arial" w:eastAsia="等线" w:cs="Arial"/>
          <w:sz w:val="22"/>
        </w:rPr>
        <w:t>: This is a self-designed questionnaire to assess your satisfaction with primary care referral decision-making related learning and training. The questionnaire adopts a 5-point rating scale: 1=Very Dissatisfied, 2=Dissatisfied, 3=Neutral, 4=Satisfied, 5=Very Satisfied. Please fill in the questionnaire truthfully according to your actual learning experience. All your answers are anonymous and will only be used for academic research and teaching improvement. Thank you for your support and cooperation!</w:t>
      </w:r>
    </w:p>
    <w:p w14:paraId="63A175F3">
      <w:pPr>
        <w:spacing w:before="300" w:after="120" w:line="288" w:lineRule="auto"/>
        <w:ind w:left="0"/>
        <w:jc w:val="left"/>
        <w:outlineLvl w:val="2"/>
      </w:pPr>
      <w:bookmarkStart w:id="0" w:name="heading_0"/>
      <w:r>
        <w:rPr>
          <w:rFonts w:ascii="Arial" w:hAnsi="Arial" w:eastAsia="等线" w:cs="Arial"/>
          <w:b/>
          <w:sz w:val="30"/>
        </w:rPr>
        <w:t>I. Basic Information (Optional)</w:t>
      </w:r>
      <w:bookmarkEnd w:id="0"/>
    </w:p>
    <w:p w14:paraId="6D2A3DEF">
      <w:pPr>
        <w:numPr>
          <w:ilvl w:val="0"/>
          <w:numId w:val="1"/>
        </w:numPr>
        <w:spacing w:before="120" w:after="120" w:line="288" w:lineRule="auto"/>
        <w:ind w:left="0"/>
        <w:jc w:val="left"/>
      </w:pPr>
      <w:r>
        <w:rPr>
          <w:rFonts w:ascii="Arial" w:hAnsi="Arial" w:eastAsia="等线" w:cs="Arial"/>
          <w:sz w:val="22"/>
        </w:rPr>
        <w:t>Gender: □ Male □ Female</w:t>
      </w:r>
    </w:p>
    <w:p w14:paraId="68C68647">
      <w:pPr>
        <w:numPr>
          <w:ilvl w:val="0"/>
          <w:numId w:val="2"/>
        </w:numPr>
        <w:spacing w:before="120" w:after="120" w:line="288" w:lineRule="auto"/>
        <w:ind w:left="0"/>
        <w:jc w:val="left"/>
      </w:pPr>
      <w:r>
        <w:rPr>
          <w:rFonts w:ascii="Arial" w:hAnsi="Arial" w:eastAsia="等线" w:cs="Arial"/>
          <w:sz w:val="22"/>
        </w:rPr>
        <w:t>Learning Stage: □ General practice student □ 1st-year standardized training resident □ 2nd-year standardized training resident □ 3rd-year standardized training resident</w:t>
      </w:r>
    </w:p>
    <w:p w14:paraId="13853665">
      <w:pPr>
        <w:numPr>
          <w:ilvl w:val="0"/>
          <w:numId w:val="3"/>
        </w:numPr>
        <w:spacing w:before="120" w:after="120" w:line="288" w:lineRule="auto"/>
        <w:ind w:left="0"/>
        <w:jc w:val="left"/>
      </w:pPr>
      <w:r>
        <w:rPr>
          <w:rFonts w:ascii="Arial" w:hAnsi="Arial" w:eastAsia="等线" w:cs="Arial"/>
          <w:sz w:val="22"/>
        </w:rPr>
        <w:t>Duration of participating in referral decision-making related learning: □ &lt; 1 month □ 1-3 months □ 3-6 months □ &gt; 6 months</w:t>
      </w:r>
    </w:p>
    <w:p w14:paraId="737228B3">
      <w:pPr>
        <w:spacing w:before="300" w:after="120" w:line="288" w:lineRule="auto"/>
        <w:ind w:left="0"/>
        <w:jc w:val="left"/>
        <w:outlineLvl w:val="2"/>
      </w:pPr>
      <w:bookmarkStart w:id="1" w:name="heading_1"/>
      <w:r>
        <w:rPr>
          <w:rFonts w:ascii="Arial" w:hAnsi="Arial" w:eastAsia="等线" w:cs="Arial"/>
          <w:b/>
          <w:sz w:val="30"/>
        </w:rPr>
        <w:t>II. Learning Satisfaction Evaluation (Please tick the corresponding option for each question)</w:t>
      </w:r>
      <w:bookmarkEnd w:id="1"/>
    </w:p>
    <w:tbl>
      <w:tblPr>
        <w:tblStyle w:val="2"/>
        <w:tblW w:w="9227" w:type="dxa"/>
        <w:jc w:val="center"/>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autofit"/>
        <w:tblCellMar>
          <w:top w:w="0" w:type="dxa"/>
          <w:left w:w="10" w:type="dxa"/>
          <w:bottom w:w="0" w:type="dxa"/>
          <w:right w:w="10" w:type="dxa"/>
        </w:tblCellMar>
      </w:tblPr>
      <w:tblGrid>
        <w:gridCol w:w="595"/>
        <w:gridCol w:w="1757"/>
        <w:gridCol w:w="1777"/>
        <w:gridCol w:w="1475"/>
        <w:gridCol w:w="998"/>
        <w:gridCol w:w="1157"/>
        <w:gridCol w:w="1468"/>
      </w:tblGrid>
      <w:tr w14:paraId="5ACFF91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tblHeader/>
          <w:jc w:val="center"/>
        </w:trPr>
        <w:tc>
          <w:tcPr>
            <w:tcW w:w="494" w:type="dxa"/>
            <w:tcBorders>
              <w:top w:val="single" w:color="auto" w:sz="4" w:space="0"/>
              <w:bottom w:val="single" w:color="auto" w:sz="4" w:space="0"/>
            </w:tcBorders>
            <w:tcMar>
              <w:top w:w="60" w:type="dxa"/>
              <w:left w:w="120" w:type="dxa"/>
              <w:bottom w:w="30" w:type="dxa"/>
              <w:right w:w="120" w:type="dxa"/>
            </w:tcMar>
            <w:vAlign w:val="center"/>
          </w:tcPr>
          <w:p w14:paraId="5C6A00EB">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No.</w:t>
            </w:r>
          </w:p>
        </w:tc>
        <w:tc>
          <w:tcPr>
            <w:tcW w:w="1742" w:type="dxa"/>
            <w:tcBorders>
              <w:top w:val="single" w:color="auto" w:sz="4" w:space="0"/>
              <w:bottom w:val="single" w:color="auto" w:sz="4" w:space="0"/>
            </w:tcBorders>
            <w:tcMar>
              <w:top w:w="60" w:type="dxa"/>
              <w:left w:w="120" w:type="dxa"/>
              <w:bottom w:w="30" w:type="dxa"/>
              <w:right w:w="120" w:type="dxa"/>
            </w:tcMar>
            <w:vAlign w:val="center"/>
          </w:tcPr>
          <w:p w14:paraId="437857D6">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Evaluation Items</w:t>
            </w:r>
          </w:p>
        </w:tc>
        <w:tc>
          <w:tcPr>
            <w:tcW w:w="1884" w:type="dxa"/>
            <w:tcBorders>
              <w:top w:val="single" w:color="auto" w:sz="4" w:space="0"/>
              <w:bottom w:val="single" w:color="auto" w:sz="4" w:space="0"/>
            </w:tcBorders>
            <w:tcMar>
              <w:top w:w="60" w:type="dxa"/>
              <w:left w:w="120" w:type="dxa"/>
              <w:bottom w:w="30" w:type="dxa"/>
              <w:right w:w="120" w:type="dxa"/>
            </w:tcMar>
            <w:vAlign w:val="center"/>
          </w:tcPr>
          <w:p w14:paraId="44FF2FD7">
            <w:pPr>
              <w:keepNext/>
              <w:snapToGrid w:val="0"/>
              <w:spacing w:before="120" w:after="120" w:line="240" w:lineRule="auto"/>
              <w:ind w:left="0" w:leftChars="0" w:right="0" w:rightChars="0" w:firstLine="0" w:firstLineChars="0"/>
              <w:jc w:val="center"/>
              <w:rPr>
                <w:rFonts w:ascii="Arial" w:hAnsi="Arial" w:eastAsia="等线" w:cs="Arial"/>
                <w:b/>
                <w:sz w:val="22"/>
              </w:rPr>
            </w:pPr>
            <w:r>
              <w:rPr>
                <w:rFonts w:ascii="Arial" w:hAnsi="Arial" w:eastAsia="等线" w:cs="Arial"/>
                <w:b/>
                <w:sz w:val="22"/>
              </w:rPr>
              <w:t xml:space="preserve">Very Dissatisfied </w:t>
            </w:r>
          </w:p>
          <w:p w14:paraId="4506BACF">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(1)</w:t>
            </w:r>
          </w:p>
        </w:tc>
        <w:tc>
          <w:tcPr>
            <w:tcW w:w="1436" w:type="dxa"/>
            <w:tcBorders>
              <w:top w:val="single" w:color="auto" w:sz="4" w:space="0"/>
              <w:bottom w:val="single" w:color="auto" w:sz="4" w:space="0"/>
            </w:tcBorders>
            <w:tcMar>
              <w:top w:w="60" w:type="dxa"/>
              <w:left w:w="120" w:type="dxa"/>
              <w:bottom w:w="30" w:type="dxa"/>
              <w:right w:w="120" w:type="dxa"/>
            </w:tcMar>
            <w:vAlign w:val="center"/>
          </w:tcPr>
          <w:p w14:paraId="79E2BAA7">
            <w:pPr>
              <w:keepNext/>
              <w:snapToGrid w:val="0"/>
              <w:spacing w:before="120" w:after="120" w:line="240" w:lineRule="auto"/>
              <w:ind w:left="0" w:leftChars="0" w:right="0" w:rightChars="0" w:firstLine="0" w:firstLineChars="0"/>
              <w:jc w:val="center"/>
              <w:rPr>
                <w:rFonts w:ascii="Arial" w:hAnsi="Arial" w:eastAsia="等线" w:cs="Arial"/>
                <w:b/>
                <w:sz w:val="22"/>
              </w:rPr>
            </w:pPr>
            <w:r>
              <w:rPr>
                <w:rFonts w:ascii="Arial" w:hAnsi="Arial" w:eastAsia="等线" w:cs="Arial"/>
                <w:b/>
                <w:sz w:val="22"/>
              </w:rPr>
              <w:t xml:space="preserve">Dissatisfied </w:t>
            </w:r>
          </w:p>
          <w:p w14:paraId="3FF82DB4">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(2)</w:t>
            </w:r>
          </w:p>
        </w:tc>
        <w:tc>
          <w:tcPr>
            <w:tcW w:w="959" w:type="dxa"/>
            <w:tcBorders>
              <w:top w:val="single" w:color="auto" w:sz="4" w:space="0"/>
              <w:bottom w:val="single" w:color="auto" w:sz="4" w:space="0"/>
            </w:tcBorders>
            <w:tcMar>
              <w:top w:w="60" w:type="dxa"/>
              <w:left w:w="120" w:type="dxa"/>
              <w:bottom w:w="30" w:type="dxa"/>
              <w:right w:w="120" w:type="dxa"/>
            </w:tcMar>
            <w:vAlign w:val="center"/>
          </w:tcPr>
          <w:p w14:paraId="0FAE5ECA">
            <w:pPr>
              <w:keepNext/>
              <w:snapToGrid w:val="0"/>
              <w:spacing w:before="120" w:after="120" w:line="240" w:lineRule="auto"/>
              <w:ind w:left="0" w:leftChars="0" w:right="0" w:rightChars="0" w:firstLine="0" w:firstLineChars="0"/>
              <w:jc w:val="center"/>
              <w:rPr>
                <w:rFonts w:ascii="Arial" w:hAnsi="Arial" w:eastAsia="等线" w:cs="Arial"/>
                <w:b/>
                <w:sz w:val="22"/>
              </w:rPr>
            </w:pPr>
            <w:r>
              <w:rPr>
                <w:rFonts w:ascii="Arial" w:hAnsi="Arial" w:eastAsia="等线" w:cs="Arial"/>
                <w:b/>
                <w:sz w:val="22"/>
              </w:rPr>
              <w:t xml:space="preserve">Neutral </w:t>
            </w:r>
          </w:p>
          <w:p w14:paraId="700A7ED2">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(3)</w:t>
            </w:r>
          </w:p>
        </w:tc>
        <w:tc>
          <w:tcPr>
            <w:tcW w:w="1118" w:type="dxa"/>
            <w:tcBorders>
              <w:top w:val="single" w:color="auto" w:sz="4" w:space="0"/>
              <w:bottom w:val="single" w:color="auto" w:sz="4" w:space="0"/>
            </w:tcBorders>
            <w:tcMar>
              <w:top w:w="60" w:type="dxa"/>
              <w:left w:w="120" w:type="dxa"/>
              <w:bottom w:w="30" w:type="dxa"/>
              <w:right w:w="120" w:type="dxa"/>
            </w:tcMar>
            <w:vAlign w:val="center"/>
          </w:tcPr>
          <w:p w14:paraId="1B106E8E">
            <w:pPr>
              <w:keepNext/>
              <w:snapToGrid w:val="0"/>
              <w:spacing w:before="120" w:after="120" w:line="240" w:lineRule="auto"/>
              <w:ind w:left="0" w:leftChars="0" w:right="0" w:rightChars="0" w:firstLine="0" w:firstLineChars="0"/>
              <w:jc w:val="center"/>
              <w:rPr>
                <w:rFonts w:ascii="Arial" w:hAnsi="Arial" w:eastAsia="等线" w:cs="Arial"/>
                <w:b/>
                <w:sz w:val="22"/>
              </w:rPr>
            </w:pPr>
            <w:r>
              <w:rPr>
                <w:rFonts w:ascii="Arial" w:hAnsi="Arial" w:eastAsia="等线" w:cs="Arial"/>
                <w:b/>
                <w:sz w:val="22"/>
              </w:rPr>
              <w:t xml:space="preserve">Satisfied </w:t>
            </w:r>
          </w:p>
          <w:p w14:paraId="6A2821F7">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(4)</w:t>
            </w:r>
          </w:p>
        </w:tc>
        <w:tc>
          <w:tcPr>
            <w:tcW w:w="1579" w:type="dxa"/>
            <w:tcBorders>
              <w:top w:val="single" w:color="auto" w:sz="4" w:space="0"/>
              <w:bottom w:val="single" w:color="auto" w:sz="4" w:space="0"/>
            </w:tcBorders>
            <w:tcMar>
              <w:top w:w="60" w:type="dxa"/>
              <w:left w:w="120" w:type="dxa"/>
              <w:bottom w:w="30" w:type="dxa"/>
              <w:right w:w="120" w:type="dxa"/>
            </w:tcMar>
            <w:vAlign w:val="center"/>
          </w:tcPr>
          <w:p w14:paraId="16DAA7B5">
            <w:pPr>
              <w:keepNext/>
              <w:snapToGrid w:val="0"/>
              <w:spacing w:before="120" w:after="120" w:line="240" w:lineRule="auto"/>
              <w:ind w:left="0" w:leftChars="0" w:right="0" w:rightChars="0" w:firstLine="0" w:firstLineChars="0"/>
              <w:jc w:val="center"/>
              <w:rPr>
                <w:rFonts w:ascii="Arial" w:hAnsi="Arial" w:eastAsia="等线" w:cs="Arial"/>
                <w:b/>
                <w:sz w:val="22"/>
              </w:rPr>
            </w:pPr>
            <w:r>
              <w:rPr>
                <w:rFonts w:ascii="Arial" w:hAnsi="Arial" w:eastAsia="等线" w:cs="Arial"/>
                <w:b/>
                <w:sz w:val="22"/>
              </w:rPr>
              <w:t xml:space="preserve">Very Satisfied </w:t>
            </w:r>
          </w:p>
          <w:p w14:paraId="485042E0">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(5)</w:t>
            </w:r>
          </w:p>
        </w:tc>
      </w:tr>
      <w:tr w14:paraId="28BB47D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Borders>
              <w:top w:val="single" w:color="auto" w:sz="4" w:space="0"/>
            </w:tcBorders>
            <w:tcMar>
              <w:top w:w="60" w:type="dxa"/>
              <w:left w:w="120" w:type="dxa"/>
              <w:bottom w:w="30" w:type="dxa"/>
              <w:right w:w="120" w:type="dxa"/>
            </w:tcMar>
            <w:vAlign w:val="center"/>
          </w:tcPr>
          <w:p w14:paraId="2F9ECC3D">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1</w:t>
            </w:r>
          </w:p>
        </w:tc>
        <w:tc>
          <w:tcPr>
            <w:tcW w:w="1742" w:type="dxa"/>
            <w:tcBorders>
              <w:top w:val="single" w:color="auto" w:sz="4" w:space="0"/>
            </w:tcBorders>
            <w:tcMar>
              <w:top w:w="60" w:type="dxa"/>
              <w:left w:w="120" w:type="dxa"/>
              <w:bottom w:w="30" w:type="dxa"/>
              <w:right w:w="120" w:type="dxa"/>
            </w:tcMar>
            <w:vAlign w:val="center"/>
          </w:tcPr>
          <w:p w14:paraId="15D42C51">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learning content of referral decision-making is closely related to primary care clinical practice.</w:t>
            </w:r>
          </w:p>
        </w:tc>
        <w:tc>
          <w:tcPr>
            <w:tcW w:w="1884" w:type="dxa"/>
            <w:tcBorders>
              <w:top w:val="single" w:color="auto" w:sz="4" w:space="0"/>
            </w:tcBorders>
            <w:tcMar>
              <w:top w:w="60" w:type="dxa"/>
              <w:left w:w="120" w:type="dxa"/>
              <w:bottom w:w="30" w:type="dxa"/>
              <w:right w:w="120" w:type="dxa"/>
            </w:tcMar>
            <w:vAlign w:val="center"/>
          </w:tcPr>
          <w:p w14:paraId="08156D79">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Borders>
              <w:top w:val="single" w:color="auto" w:sz="4" w:space="0"/>
            </w:tcBorders>
            <w:tcMar>
              <w:top w:w="60" w:type="dxa"/>
              <w:left w:w="120" w:type="dxa"/>
              <w:bottom w:w="30" w:type="dxa"/>
              <w:right w:w="120" w:type="dxa"/>
            </w:tcMar>
            <w:vAlign w:val="center"/>
          </w:tcPr>
          <w:p w14:paraId="6AE45F70">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Borders>
              <w:top w:val="single" w:color="auto" w:sz="4" w:space="0"/>
            </w:tcBorders>
            <w:tcMar>
              <w:top w:w="60" w:type="dxa"/>
              <w:left w:w="120" w:type="dxa"/>
              <w:bottom w:w="30" w:type="dxa"/>
              <w:right w:w="120" w:type="dxa"/>
            </w:tcMar>
            <w:vAlign w:val="center"/>
          </w:tcPr>
          <w:p w14:paraId="27F34317">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Borders>
              <w:top w:val="single" w:color="auto" w:sz="4" w:space="0"/>
            </w:tcBorders>
            <w:tcMar>
              <w:top w:w="60" w:type="dxa"/>
              <w:left w:w="120" w:type="dxa"/>
              <w:bottom w:w="30" w:type="dxa"/>
              <w:right w:w="120" w:type="dxa"/>
            </w:tcMar>
            <w:vAlign w:val="center"/>
          </w:tcPr>
          <w:p w14:paraId="17DB7CAA">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Borders>
              <w:top w:val="single" w:color="auto" w:sz="4" w:space="0"/>
            </w:tcBorders>
            <w:tcMar>
              <w:top w:w="60" w:type="dxa"/>
              <w:left w:w="120" w:type="dxa"/>
              <w:bottom w:w="30" w:type="dxa"/>
              <w:right w:w="120" w:type="dxa"/>
            </w:tcMar>
            <w:vAlign w:val="center"/>
          </w:tcPr>
          <w:p w14:paraId="0E0016AC">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0B8CF49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Mar>
              <w:top w:w="60" w:type="dxa"/>
              <w:left w:w="120" w:type="dxa"/>
              <w:bottom w:w="30" w:type="dxa"/>
              <w:right w:w="120" w:type="dxa"/>
            </w:tcMar>
            <w:vAlign w:val="center"/>
          </w:tcPr>
          <w:p w14:paraId="6E8F59EE">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2</w:t>
            </w:r>
          </w:p>
        </w:tc>
        <w:tc>
          <w:tcPr>
            <w:tcW w:w="1742" w:type="dxa"/>
            <w:tcMar>
              <w:top w:w="60" w:type="dxa"/>
              <w:left w:w="120" w:type="dxa"/>
              <w:bottom w:w="30" w:type="dxa"/>
              <w:right w:w="120" w:type="dxa"/>
            </w:tcMar>
            <w:vAlign w:val="center"/>
          </w:tcPr>
          <w:p w14:paraId="1C388DD0">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learning content covers the key points of referral indications, timing and interdisciplinary coordination.</w:t>
            </w:r>
          </w:p>
        </w:tc>
        <w:tc>
          <w:tcPr>
            <w:tcW w:w="1884" w:type="dxa"/>
            <w:tcMar>
              <w:top w:w="60" w:type="dxa"/>
              <w:left w:w="120" w:type="dxa"/>
              <w:bottom w:w="30" w:type="dxa"/>
              <w:right w:w="120" w:type="dxa"/>
            </w:tcMar>
            <w:vAlign w:val="center"/>
          </w:tcPr>
          <w:p w14:paraId="235397A2">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Mar>
              <w:top w:w="60" w:type="dxa"/>
              <w:left w:w="120" w:type="dxa"/>
              <w:bottom w:w="30" w:type="dxa"/>
              <w:right w:w="120" w:type="dxa"/>
            </w:tcMar>
            <w:vAlign w:val="center"/>
          </w:tcPr>
          <w:p w14:paraId="39BB69F2">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Mar>
              <w:top w:w="60" w:type="dxa"/>
              <w:left w:w="120" w:type="dxa"/>
              <w:bottom w:w="30" w:type="dxa"/>
              <w:right w:w="120" w:type="dxa"/>
            </w:tcMar>
            <w:vAlign w:val="center"/>
          </w:tcPr>
          <w:p w14:paraId="2B6CFE34">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Mar>
              <w:top w:w="60" w:type="dxa"/>
              <w:left w:w="120" w:type="dxa"/>
              <w:bottom w:w="30" w:type="dxa"/>
              <w:right w:w="120" w:type="dxa"/>
            </w:tcMar>
            <w:vAlign w:val="center"/>
          </w:tcPr>
          <w:p w14:paraId="2437E59A">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Mar>
              <w:top w:w="60" w:type="dxa"/>
              <w:left w:w="120" w:type="dxa"/>
              <w:bottom w:w="30" w:type="dxa"/>
              <w:right w:w="120" w:type="dxa"/>
            </w:tcMar>
            <w:vAlign w:val="center"/>
          </w:tcPr>
          <w:p w14:paraId="440917DA">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37BEE0F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Mar>
              <w:top w:w="60" w:type="dxa"/>
              <w:left w:w="120" w:type="dxa"/>
              <w:bottom w:w="30" w:type="dxa"/>
              <w:right w:w="120" w:type="dxa"/>
            </w:tcMar>
            <w:vAlign w:val="center"/>
          </w:tcPr>
          <w:p w14:paraId="3B1C8CC5">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3</w:t>
            </w:r>
          </w:p>
        </w:tc>
        <w:tc>
          <w:tcPr>
            <w:tcW w:w="1742" w:type="dxa"/>
            <w:tcMar>
              <w:top w:w="60" w:type="dxa"/>
              <w:left w:w="120" w:type="dxa"/>
              <w:bottom w:w="30" w:type="dxa"/>
              <w:right w:w="120" w:type="dxa"/>
            </w:tcMar>
            <w:vAlign w:val="center"/>
          </w:tcPr>
          <w:p w14:paraId="229A32DF">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teaching methods (such as case analysis, simulation training) are helpful for mastering referral decision-making skills.</w:t>
            </w:r>
          </w:p>
        </w:tc>
        <w:tc>
          <w:tcPr>
            <w:tcW w:w="1884" w:type="dxa"/>
            <w:tcMar>
              <w:top w:w="60" w:type="dxa"/>
              <w:left w:w="120" w:type="dxa"/>
              <w:bottom w:w="30" w:type="dxa"/>
              <w:right w:w="120" w:type="dxa"/>
            </w:tcMar>
            <w:vAlign w:val="center"/>
          </w:tcPr>
          <w:p w14:paraId="05FD2649">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Mar>
              <w:top w:w="60" w:type="dxa"/>
              <w:left w:w="120" w:type="dxa"/>
              <w:bottom w:w="30" w:type="dxa"/>
              <w:right w:w="120" w:type="dxa"/>
            </w:tcMar>
            <w:vAlign w:val="center"/>
          </w:tcPr>
          <w:p w14:paraId="451003DD">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Mar>
              <w:top w:w="60" w:type="dxa"/>
              <w:left w:w="120" w:type="dxa"/>
              <w:bottom w:w="30" w:type="dxa"/>
              <w:right w:w="120" w:type="dxa"/>
            </w:tcMar>
            <w:vAlign w:val="center"/>
          </w:tcPr>
          <w:p w14:paraId="55415B00">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Mar>
              <w:top w:w="60" w:type="dxa"/>
              <w:left w:w="120" w:type="dxa"/>
              <w:bottom w:w="30" w:type="dxa"/>
              <w:right w:w="120" w:type="dxa"/>
            </w:tcMar>
            <w:vAlign w:val="center"/>
          </w:tcPr>
          <w:p w14:paraId="3E03EA2C">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Mar>
              <w:top w:w="60" w:type="dxa"/>
              <w:left w:w="120" w:type="dxa"/>
              <w:bottom w:w="30" w:type="dxa"/>
              <w:right w:w="120" w:type="dxa"/>
            </w:tcMar>
            <w:vAlign w:val="center"/>
          </w:tcPr>
          <w:p w14:paraId="05ED4210">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337390E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Mar>
              <w:top w:w="60" w:type="dxa"/>
              <w:left w:w="120" w:type="dxa"/>
              <w:bottom w:w="30" w:type="dxa"/>
              <w:right w:w="120" w:type="dxa"/>
            </w:tcMar>
            <w:vAlign w:val="center"/>
          </w:tcPr>
          <w:p w14:paraId="09C7B440">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4</w:t>
            </w:r>
          </w:p>
        </w:tc>
        <w:tc>
          <w:tcPr>
            <w:tcW w:w="1742" w:type="dxa"/>
            <w:tcMar>
              <w:top w:w="60" w:type="dxa"/>
              <w:left w:w="120" w:type="dxa"/>
              <w:bottom w:w="30" w:type="dxa"/>
              <w:right w:w="120" w:type="dxa"/>
            </w:tcMar>
            <w:vAlign w:val="center"/>
          </w:tcPr>
          <w:p w14:paraId="474397F0">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teaching staff have sufficient professional ability to guide referral decision-making learning.</w:t>
            </w:r>
          </w:p>
        </w:tc>
        <w:tc>
          <w:tcPr>
            <w:tcW w:w="1884" w:type="dxa"/>
            <w:tcMar>
              <w:top w:w="60" w:type="dxa"/>
              <w:left w:w="120" w:type="dxa"/>
              <w:bottom w:w="30" w:type="dxa"/>
              <w:right w:w="120" w:type="dxa"/>
            </w:tcMar>
            <w:vAlign w:val="center"/>
          </w:tcPr>
          <w:p w14:paraId="18BA74C2">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Mar>
              <w:top w:w="60" w:type="dxa"/>
              <w:left w:w="120" w:type="dxa"/>
              <w:bottom w:w="30" w:type="dxa"/>
              <w:right w:w="120" w:type="dxa"/>
            </w:tcMar>
            <w:vAlign w:val="center"/>
          </w:tcPr>
          <w:p w14:paraId="11F93338">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Mar>
              <w:top w:w="60" w:type="dxa"/>
              <w:left w:w="120" w:type="dxa"/>
              <w:bottom w:w="30" w:type="dxa"/>
              <w:right w:w="120" w:type="dxa"/>
            </w:tcMar>
            <w:vAlign w:val="center"/>
          </w:tcPr>
          <w:p w14:paraId="74584479">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Mar>
              <w:top w:w="60" w:type="dxa"/>
              <w:left w:w="120" w:type="dxa"/>
              <w:bottom w:w="30" w:type="dxa"/>
              <w:right w:w="120" w:type="dxa"/>
            </w:tcMar>
            <w:vAlign w:val="center"/>
          </w:tcPr>
          <w:p w14:paraId="3E7BC4C3">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Mar>
              <w:top w:w="60" w:type="dxa"/>
              <w:left w:w="120" w:type="dxa"/>
              <w:bottom w:w="30" w:type="dxa"/>
              <w:right w:w="120" w:type="dxa"/>
            </w:tcMar>
            <w:vAlign w:val="center"/>
          </w:tcPr>
          <w:p w14:paraId="2BEFAB03">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5D71FB8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Mar>
              <w:top w:w="60" w:type="dxa"/>
              <w:left w:w="120" w:type="dxa"/>
              <w:bottom w:w="30" w:type="dxa"/>
              <w:right w:w="120" w:type="dxa"/>
            </w:tcMar>
            <w:vAlign w:val="center"/>
          </w:tcPr>
          <w:p w14:paraId="4B2F93B8">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5</w:t>
            </w:r>
          </w:p>
        </w:tc>
        <w:tc>
          <w:tcPr>
            <w:tcW w:w="1742" w:type="dxa"/>
            <w:tcMar>
              <w:top w:w="60" w:type="dxa"/>
              <w:left w:w="120" w:type="dxa"/>
              <w:bottom w:w="30" w:type="dxa"/>
              <w:right w:w="120" w:type="dxa"/>
            </w:tcMar>
            <w:vAlign w:val="center"/>
          </w:tcPr>
          <w:p w14:paraId="796A2818">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learning resources (such as teaching materials, case databases) meet the needs of referral decision-making learning.</w:t>
            </w:r>
          </w:p>
        </w:tc>
        <w:tc>
          <w:tcPr>
            <w:tcW w:w="1884" w:type="dxa"/>
            <w:tcMar>
              <w:top w:w="60" w:type="dxa"/>
              <w:left w:w="120" w:type="dxa"/>
              <w:bottom w:w="30" w:type="dxa"/>
              <w:right w:w="120" w:type="dxa"/>
            </w:tcMar>
            <w:vAlign w:val="center"/>
          </w:tcPr>
          <w:p w14:paraId="00D228B5">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Mar>
              <w:top w:w="60" w:type="dxa"/>
              <w:left w:w="120" w:type="dxa"/>
              <w:bottom w:w="30" w:type="dxa"/>
              <w:right w:w="120" w:type="dxa"/>
            </w:tcMar>
            <w:vAlign w:val="center"/>
          </w:tcPr>
          <w:p w14:paraId="7EFC1718">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Mar>
              <w:top w:w="60" w:type="dxa"/>
              <w:left w:w="120" w:type="dxa"/>
              <w:bottom w:w="30" w:type="dxa"/>
              <w:right w:w="120" w:type="dxa"/>
            </w:tcMar>
            <w:vAlign w:val="center"/>
          </w:tcPr>
          <w:p w14:paraId="221D409F">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Mar>
              <w:top w:w="60" w:type="dxa"/>
              <w:left w:w="120" w:type="dxa"/>
              <w:bottom w:w="30" w:type="dxa"/>
              <w:right w:w="120" w:type="dxa"/>
            </w:tcMar>
            <w:vAlign w:val="center"/>
          </w:tcPr>
          <w:p w14:paraId="5F2BC28D">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Mar>
              <w:top w:w="60" w:type="dxa"/>
              <w:left w:w="120" w:type="dxa"/>
              <w:bottom w:w="30" w:type="dxa"/>
              <w:right w:w="120" w:type="dxa"/>
            </w:tcMar>
            <w:vAlign w:val="center"/>
          </w:tcPr>
          <w:p w14:paraId="59BFD5F0">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67B4B70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Mar>
              <w:top w:w="60" w:type="dxa"/>
              <w:left w:w="120" w:type="dxa"/>
              <w:bottom w:w="30" w:type="dxa"/>
              <w:right w:w="120" w:type="dxa"/>
            </w:tcMar>
            <w:vAlign w:val="center"/>
          </w:tcPr>
          <w:p w14:paraId="2AF63045">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6</w:t>
            </w:r>
          </w:p>
        </w:tc>
        <w:tc>
          <w:tcPr>
            <w:tcW w:w="1742" w:type="dxa"/>
            <w:tcMar>
              <w:top w:w="60" w:type="dxa"/>
              <w:left w:w="120" w:type="dxa"/>
              <w:bottom w:w="30" w:type="dxa"/>
              <w:right w:w="120" w:type="dxa"/>
            </w:tcMar>
            <w:vAlign w:val="center"/>
          </w:tcPr>
          <w:p w14:paraId="524ECA67">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learning process helps improve your ability to judge referral indications.</w:t>
            </w:r>
          </w:p>
        </w:tc>
        <w:tc>
          <w:tcPr>
            <w:tcW w:w="1884" w:type="dxa"/>
            <w:tcMar>
              <w:top w:w="60" w:type="dxa"/>
              <w:left w:w="120" w:type="dxa"/>
              <w:bottom w:w="30" w:type="dxa"/>
              <w:right w:w="120" w:type="dxa"/>
            </w:tcMar>
            <w:vAlign w:val="center"/>
          </w:tcPr>
          <w:p w14:paraId="59B636E9">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Mar>
              <w:top w:w="60" w:type="dxa"/>
              <w:left w:w="120" w:type="dxa"/>
              <w:bottom w:w="30" w:type="dxa"/>
              <w:right w:w="120" w:type="dxa"/>
            </w:tcMar>
            <w:vAlign w:val="center"/>
          </w:tcPr>
          <w:p w14:paraId="01684DD0">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Mar>
              <w:top w:w="60" w:type="dxa"/>
              <w:left w:w="120" w:type="dxa"/>
              <w:bottom w:w="30" w:type="dxa"/>
              <w:right w:w="120" w:type="dxa"/>
            </w:tcMar>
            <w:vAlign w:val="center"/>
          </w:tcPr>
          <w:p w14:paraId="68BF40DD">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Mar>
              <w:top w:w="60" w:type="dxa"/>
              <w:left w:w="120" w:type="dxa"/>
              <w:bottom w:w="30" w:type="dxa"/>
              <w:right w:w="120" w:type="dxa"/>
            </w:tcMar>
            <w:vAlign w:val="center"/>
          </w:tcPr>
          <w:p w14:paraId="13B7357E">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Mar>
              <w:top w:w="60" w:type="dxa"/>
              <w:left w:w="120" w:type="dxa"/>
              <w:bottom w:w="30" w:type="dxa"/>
              <w:right w:w="120" w:type="dxa"/>
            </w:tcMar>
            <w:vAlign w:val="center"/>
          </w:tcPr>
          <w:p w14:paraId="1C4E8DAC">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4B60BC60">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Mar>
              <w:top w:w="60" w:type="dxa"/>
              <w:left w:w="120" w:type="dxa"/>
              <w:bottom w:w="30" w:type="dxa"/>
              <w:right w:w="120" w:type="dxa"/>
            </w:tcMar>
            <w:vAlign w:val="center"/>
          </w:tcPr>
          <w:p w14:paraId="05019453">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7</w:t>
            </w:r>
          </w:p>
        </w:tc>
        <w:tc>
          <w:tcPr>
            <w:tcW w:w="1742" w:type="dxa"/>
            <w:tcMar>
              <w:top w:w="60" w:type="dxa"/>
              <w:left w:w="120" w:type="dxa"/>
              <w:bottom w:w="30" w:type="dxa"/>
              <w:right w:w="120" w:type="dxa"/>
            </w:tcMar>
            <w:vAlign w:val="center"/>
          </w:tcPr>
          <w:p w14:paraId="18890191">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learning process helps improve your ability to grasp the appropriate referral timing.</w:t>
            </w:r>
          </w:p>
        </w:tc>
        <w:tc>
          <w:tcPr>
            <w:tcW w:w="1884" w:type="dxa"/>
            <w:tcMar>
              <w:top w:w="60" w:type="dxa"/>
              <w:left w:w="120" w:type="dxa"/>
              <w:bottom w:w="30" w:type="dxa"/>
              <w:right w:w="120" w:type="dxa"/>
            </w:tcMar>
            <w:vAlign w:val="center"/>
          </w:tcPr>
          <w:p w14:paraId="5540EA26">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Mar>
              <w:top w:w="60" w:type="dxa"/>
              <w:left w:w="120" w:type="dxa"/>
              <w:bottom w:w="30" w:type="dxa"/>
              <w:right w:w="120" w:type="dxa"/>
            </w:tcMar>
            <w:vAlign w:val="center"/>
          </w:tcPr>
          <w:p w14:paraId="2E7B88DB">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Mar>
              <w:top w:w="60" w:type="dxa"/>
              <w:left w:w="120" w:type="dxa"/>
              <w:bottom w:w="30" w:type="dxa"/>
              <w:right w:w="120" w:type="dxa"/>
            </w:tcMar>
            <w:vAlign w:val="center"/>
          </w:tcPr>
          <w:p w14:paraId="7FB34412">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Mar>
              <w:top w:w="60" w:type="dxa"/>
              <w:left w:w="120" w:type="dxa"/>
              <w:bottom w:w="30" w:type="dxa"/>
              <w:right w:w="120" w:type="dxa"/>
            </w:tcMar>
            <w:vAlign w:val="center"/>
          </w:tcPr>
          <w:p w14:paraId="2080E0AC">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Mar>
              <w:top w:w="60" w:type="dxa"/>
              <w:left w:w="120" w:type="dxa"/>
              <w:bottom w:w="30" w:type="dxa"/>
              <w:right w:w="120" w:type="dxa"/>
            </w:tcMar>
            <w:vAlign w:val="center"/>
          </w:tcPr>
          <w:p w14:paraId="50DEC62C">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1F5A23A0">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Mar>
              <w:top w:w="60" w:type="dxa"/>
              <w:left w:w="120" w:type="dxa"/>
              <w:bottom w:w="30" w:type="dxa"/>
              <w:right w:w="120" w:type="dxa"/>
            </w:tcMar>
            <w:vAlign w:val="center"/>
          </w:tcPr>
          <w:p w14:paraId="762A9D1F">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8</w:t>
            </w:r>
          </w:p>
        </w:tc>
        <w:tc>
          <w:tcPr>
            <w:tcW w:w="1742" w:type="dxa"/>
            <w:tcMar>
              <w:top w:w="60" w:type="dxa"/>
              <w:left w:w="120" w:type="dxa"/>
              <w:bottom w:w="30" w:type="dxa"/>
              <w:right w:w="120" w:type="dxa"/>
            </w:tcMar>
            <w:vAlign w:val="center"/>
          </w:tcPr>
          <w:p w14:paraId="50B12836">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learning process helps improve your interdisciplinary coordination ability in referral.</w:t>
            </w:r>
          </w:p>
        </w:tc>
        <w:tc>
          <w:tcPr>
            <w:tcW w:w="1884" w:type="dxa"/>
            <w:tcMar>
              <w:top w:w="60" w:type="dxa"/>
              <w:left w:w="120" w:type="dxa"/>
              <w:bottom w:w="30" w:type="dxa"/>
              <w:right w:w="120" w:type="dxa"/>
            </w:tcMar>
            <w:vAlign w:val="center"/>
          </w:tcPr>
          <w:p w14:paraId="44CD43C5">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Mar>
              <w:top w:w="60" w:type="dxa"/>
              <w:left w:w="120" w:type="dxa"/>
              <w:bottom w:w="30" w:type="dxa"/>
              <w:right w:w="120" w:type="dxa"/>
            </w:tcMar>
            <w:vAlign w:val="center"/>
          </w:tcPr>
          <w:p w14:paraId="3051911B">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Mar>
              <w:top w:w="60" w:type="dxa"/>
              <w:left w:w="120" w:type="dxa"/>
              <w:bottom w:w="30" w:type="dxa"/>
              <w:right w:w="120" w:type="dxa"/>
            </w:tcMar>
            <w:vAlign w:val="center"/>
          </w:tcPr>
          <w:p w14:paraId="77311FDC">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Mar>
              <w:top w:w="60" w:type="dxa"/>
              <w:left w:w="120" w:type="dxa"/>
              <w:bottom w:w="30" w:type="dxa"/>
              <w:right w:w="120" w:type="dxa"/>
            </w:tcMar>
            <w:vAlign w:val="center"/>
          </w:tcPr>
          <w:p w14:paraId="7F3514EF">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Mar>
              <w:top w:w="60" w:type="dxa"/>
              <w:left w:w="120" w:type="dxa"/>
              <w:bottom w:w="30" w:type="dxa"/>
              <w:right w:w="120" w:type="dxa"/>
            </w:tcMar>
            <w:vAlign w:val="center"/>
          </w:tcPr>
          <w:p w14:paraId="5158BC78">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28E8916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Mar>
              <w:top w:w="60" w:type="dxa"/>
              <w:left w:w="120" w:type="dxa"/>
              <w:bottom w:w="30" w:type="dxa"/>
              <w:right w:w="120" w:type="dxa"/>
            </w:tcMar>
            <w:vAlign w:val="center"/>
          </w:tcPr>
          <w:p w14:paraId="0D3937BA">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9</w:t>
            </w:r>
          </w:p>
        </w:tc>
        <w:tc>
          <w:tcPr>
            <w:tcW w:w="1742" w:type="dxa"/>
            <w:tcMar>
              <w:top w:w="60" w:type="dxa"/>
              <w:left w:w="120" w:type="dxa"/>
              <w:bottom w:w="30" w:type="dxa"/>
              <w:right w:w="120" w:type="dxa"/>
            </w:tcMar>
            <w:vAlign w:val="center"/>
          </w:tcPr>
          <w:p w14:paraId="708059AE">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The difficulty and depth of the learning content are appropriate for your current learning stage.</w:t>
            </w:r>
          </w:p>
        </w:tc>
        <w:tc>
          <w:tcPr>
            <w:tcW w:w="1884" w:type="dxa"/>
            <w:tcMar>
              <w:top w:w="60" w:type="dxa"/>
              <w:left w:w="120" w:type="dxa"/>
              <w:bottom w:w="30" w:type="dxa"/>
              <w:right w:w="120" w:type="dxa"/>
            </w:tcMar>
            <w:vAlign w:val="center"/>
          </w:tcPr>
          <w:p w14:paraId="2CCE1D42">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Mar>
              <w:top w:w="60" w:type="dxa"/>
              <w:left w:w="120" w:type="dxa"/>
              <w:bottom w:w="30" w:type="dxa"/>
              <w:right w:w="120" w:type="dxa"/>
            </w:tcMar>
            <w:vAlign w:val="center"/>
          </w:tcPr>
          <w:p w14:paraId="61BB06BB">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Mar>
              <w:top w:w="60" w:type="dxa"/>
              <w:left w:w="120" w:type="dxa"/>
              <w:bottom w:w="30" w:type="dxa"/>
              <w:right w:w="120" w:type="dxa"/>
            </w:tcMar>
            <w:vAlign w:val="center"/>
          </w:tcPr>
          <w:p w14:paraId="48E7E077">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Mar>
              <w:top w:w="60" w:type="dxa"/>
              <w:left w:w="120" w:type="dxa"/>
              <w:bottom w:w="30" w:type="dxa"/>
              <w:right w:w="120" w:type="dxa"/>
            </w:tcMar>
            <w:vAlign w:val="center"/>
          </w:tcPr>
          <w:p w14:paraId="4C9F025C">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Mar>
              <w:top w:w="60" w:type="dxa"/>
              <w:left w:w="120" w:type="dxa"/>
              <w:bottom w:w="30" w:type="dxa"/>
              <w:right w:w="120" w:type="dxa"/>
            </w:tcMar>
            <w:vAlign w:val="center"/>
          </w:tcPr>
          <w:p w14:paraId="6AA26801">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2D990EF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494" w:type="dxa"/>
            <w:tcBorders>
              <w:bottom w:val="single" w:color="auto" w:sz="4" w:space="0"/>
            </w:tcBorders>
            <w:tcMar>
              <w:top w:w="60" w:type="dxa"/>
              <w:left w:w="120" w:type="dxa"/>
              <w:bottom w:w="30" w:type="dxa"/>
              <w:right w:w="120" w:type="dxa"/>
            </w:tcMar>
            <w:vAlign w:val="center"/>
          </w:tcPr>
          <w:p w14:paraId="632AAEF6">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10</w:t>
            </w:r>
          </w:p>
        </w:tc>
        <w:tc>
          <w:tcPr>
            <w:tcW w:w="1742" w:type="dxa"/>
            <w:tcBorders>
              <w:bottom w:val="single" w:color="auto" w:sz="4" w:space="0"/>
            </w:tcBorders>
            <w:tcMar>
              <w:top w:w="60" w:type="dxa"/>
              <w:left w:w="120" w:type="dxa"/>
              <w:bottom w:w="30" w:type="dxa"/>
              <w:right w:w="120" w:type="dxa"/>
            </w:tcMar>
            <w:vAlign w:val="center"/>
          </w:tcPr>
          <w:p w14:paraId="59A3192E">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Overall, you are satisfied with the referral decision-making related learning and training.</w:t>
            </w:r>
          </w:p>
        </w:tc>
        <w:tc>
          <w:tcPr>
            <w:tcW w:w="1884" w:type="dxa"/>
            <w:tcBorders>
              <w:bottom w:val="single" w:color="auto" w:sz="4" w:space="0"/>
            </w:tcBorders>
            <w:tcMar>
              <w:top w:w="60" w:type="dxa"/>
              <w:left w:w="120" w:type="dxa"/>
              <w:bottom w:w="30" w:type="dxa"/>
              <w:right w:w="120" w:type="dxa"/>
            </w:tcMar>
            <w:vAlign w:val="center"/>
          </w:tcPr>
          <w:p w14:paraId="2F9F5207">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436" w:type="dxa"/>
            <w:tcBorders>
              <w:bottom w:val="single" w:color="auto" w:sz="4" w:space="0"/>
            </w:tcBorders>
            <w:tcMar>
              <w:top w:w="60" w:type="dxa"/>
              <w:left w:w="120" w:type="dxa"/>
              <w:bottom w:w="30" w:type="dxa"/>
              <w:right w:w="120" w:type="dxa"/>
            </w:tcMar>
            <w:vAlign w:val="center"/>
          </w:tcPr>
          <w:p w14:paraId="3C6A9300">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959" w:type="dxa"/>
            <w:tcBorders>
              <w:bottom w:val="single" w:color="auto" w:sz="4" w:space="0"/>
            </w:tcBorders>
            <w:tcMar>
              <w:top w:w="60" w:type="dxa"/>
              <w:left w:w="120" w:type="dxa"/>
              <w:bottom w:w="30" w:type="dxa"/>
              <w:right w:w="120" w:type="dxa"/>
            </w:tcMar>
            <w:vAlign w:val="center"/>
          </w:tcPr>
          <w:p w14:paraId="187D19AC">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118" w:type="dxa"/>
            <w:tcBorders>
              <w:bottom w:val="single" w:color="auto" w:sz="4" w:space="0"/>
            </w:tcBorders>
            <w:tcMar>
              <w:top w:w="60" w:type="dxa"/>
              <w:left w:w="120" w:type="dxa"/>
              <w:bottom w:w="30" w:type="dxa"/>
              <w:right w:w="120" w:type="dxa"/>
            </w:tcMar>
            <w:vAlign w:val="center"/>
          </w:tcPr>
          <w:p w14:paraId="28CA1BC8">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1579" w:type="dxa"/>
            <w:tcBorders>
              <w:bottom w:val="single" w:color="auto" w:sz="4" w:space="0"/>
            </w:tcBorders>
            <w:tcMar>
              <w:top w:w="60" w:type="dxa"/>
              <w:left w:w="120" w:type="dxa"/>
              <w:bottom w:w="30" w:type="dxa"/>
              <w:right w:w="120" w:type="dxa"/>
            </w:tcMar>
            <w:vAlign w:val="center"/>
          </w:tcPr>
          <w:p w14:paraId="4AD825E6">
            <w:pPr>
              <w:keepNext/>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bl>
    <w:p w14:paraId="5C98BE98">
      <w:pPr>
        <w:spacing w:before="300" w:after="120" w:line="288" w:lineRule="auto"/>
        <w:ind w:left="0"/>
        <w:jc w:val="left"/>
        <w:outlineLvl w:val="2"/>
      </w:pPr>
      <w:bookmarkStart w:id="2" w:name="heading_2"/>
      <w:r>
        <w:rPr>
          <w:rFonts w:ascii="Arial" w:hAnsi="Arial" w:eastAsia="等线" w:cs="Arial"/>
          <w:b/>
          <w:sz w:val="30"/>
        </w:rPr>
        <w:t>III. Open-Ended Question</w:t>
      </w:r>
      <w:bookmarkEnd w:id="2"/>
    </w:p>
    <w:p w14:paraId="7ED55535">
      <w:pPr>
        <w:spacing w:before="120" w:after="120" w:line="288" w:lineRule="auto"/>
        <w:ind w:left="0"/>
        <w:jc w:val="left"/>
      </w:pPr>
      <w:r>
        <w:rPr>
          <w:rFonts w:ascii="Arial" w:hAnsi="Arial" w:eastAsia="等线" w:cs="Arial"/>
          <w:sz w:val="22"/>
        </w:rPr>
        <w:t>Do you have any suggestions for improving the referral decision-making related learning and training? (Optional)</w:t>
      </w:r>
    </w:p>
    <w:p w14:paraId="75F3F580">
      <w:pPr>
        <w:spacing w:before="120" w:after="120" w:line="288" w:lineRule="auto"/>
        <w:ind w:left="0"/>
        <w:jc w:val="left"/>
      </w:pPr>
      <w:r>
        <w:rPr>
          <w:rFonts w:ascii="Arial" w:hAnsi="Arial" w:eastAsia="等线" w:cs="Arial"/>
          <w:sz w:val="22"/>
        </w:rPr>
        <w:t>________________________________________________________________</w:t>
      </w:r>
    </w:p>
    <w:p w14:paraId="150807AC">
      <w:pPr>
        <w:spacing w:before="120" w:after="120" w:line="288" w:lineRule="auto"/>
        <w:ind w:left="0"/>
        <w:jc w:val="left"/>
      </w:pPr>
      <w:r>
        <w:rPr>
          <w:rFonts w:ascii="Arial" w:hAnsi="Arial" w:eastAsia="等线" w:cs="Arial"/>
          <w:sz w:val="22"/>
        </w:rPr>
        <w:t>________________________________________________________________</w:t>
      </w:r>
    </w:p>
    <w:p w14:paraId="6A4C3A66">
      <w:pPr>
        <w:spacing w:before="120" w:after="120" w:line="288" w:lineRule="auto"/>
        <w:ind w:left="0"/>
        <w:jc w:val="left"/>
        <w:rPr>
          <w:rFonts w:ascii="Arial" w:hAnsi="Arial" w:eastAsia="等线" w:cs="Arial"/>
          <w:sz w:val="22"/>
        </w:rPr>
      </w:pPr>
      <w:r>
        <w:rPr>
          <w:rFonts w:ascii="Arial" w:hAnsi="Arial" w:eastAsia="等线" w:cs="Arial"/>
          <w:b/>
          <w:sz w:val="22"/>
        </w:rPr>
        <w:t>Survey Date</w:t>
      </w:r>
      <w:r>
        <w:rPr>
          <w:rFonts w:ascii="Arial" w:hAnsi="Arial" w:eastAsia="等线" w:cs="Arial"/>
          <w:sz w:val="22"/>
        </w:rPr>
        <w:t>: __________</w:t>
      </w:r>
    </w:p>
    <w:p w14:paraId="22E41501">
      <w:pPr>
        <w:spacing w:before="120" w:after="120" w:line="288" w:lineRule="auto"/>
        <w:ind w:left="0"/>
        <w:jc w:val="left"/>
        <w:rPr>
          <w:rFonts w:ascii="Arial" w:hAnsi="Arial" w:eastAsia="等线" w:cs="Arial"/>
          <w:sz w:val="22"/>
        </w:rPr>
      </w:pPr>
      <w:bookmarkStart w:id="3" w:name="_GoBack"/>
      <w:bookmarkEnd w:id="3"/>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2E30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286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decimal"/>
      <w:lvlText w:val="%1."/>
      <w:lvlJc w:val="left"/>
      <w:rPr>
        <w:color w:val="3370FF"/>
      </w:rPr>
    </w:lvl>
  </w:abstractNum>
  <w:abstractNum w:abstractNumId="1">
    <w:nsid w:val="0053208E"/>
    <w:multiLevelType w:val="singleLevel"/>
    <w:tmpl w:val="0053208E"/>
    <w:lvl w:ilvl="0" w:tentative="0">
      <w:start w:val="1"/>
      <w:numFmt w:val="decimal"/>
      <w:lvlText w:val="%1."/>
      <w:lvlJc w:val="left"/>
      <w:rPr>
        <w:color w:val="3370FF"/>
      </w:rPr>
    </w:lvl>
  </w:abstractNum>
  <w:abstractNum w:abstractNumId="2">
    <w:nsid w:val="59ADCABA"/>
    <w:multiLevelType w:val="singleLevel"/>
    <w:tmpl w:val="59ADCABA"/>
    <w:lvl w:ilvl="0" w:tentative="0">
      <w:start w:val="3"/>
      <w:numFmt w:val="decimal"/>
      <w:lvlText w:val="%1."/>
      <w:lvlJc w:val="left"/>
      <w:rPr>
        <w:color w:val="3370FF"/>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4C1B4C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409</Words>
  <Characters>2352</Characters>
  <TotalTime>0</TotalTime>
  <ScaleCrop>false</ScaleCrop>
  <LinksUpToDate>false</LinksUpToDate>
  <CharactersWithSpaces>2656</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2026-03-05T03:42:00Z</dcterms:created>
  <dc:creator>Apache POI</dc:creator>
  <cp:lastModifiedBy>邓玮</cp:lastModifiedBy>
  <dcterms:modified xsi:type="dcterms:W3CDTF">2026-03-05T03:43:21Z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eyJoZGlkIjoiYWVmMmQ2YTc3ZjgxMzNiMTc1ZGVmMGU3NTliYTkyYWUiLCJ1c2VySWQiOiIzMjE1NTg5OTUifQ==</vt:lpwstr>
  </property>
  <property fmtid="{D5CDD505-2E9C-101B-9397-08002B2CF9AE}" pid="3" name="KSOProductBuildVer">
    <vt:lpwstr>2052-12.1.0.24657</vt:lpwstr>
  </property>
  <property fmtid="{D5CDD505-2E9C-101B-9397-08002B2CF9AE}" pid="4" name="ICV">
    <vt:lpwstr>CBA70A772EAC43E4BE76E777526F51D3_12</vt:lpwstr>
  </property>
</Properties>
</file>